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31452" w14:textId="77777777" w:rsidR="00470664" w:rsidRDefault="00470664" w:rsidP="00470664">
      <w:pPr>
        <w:jc w:val="center"/>
        <w:rPr>
          <w:rFonts w:cstheme="minorHAnsi"/>
        </w:rPr>
      </w:pPr>
      <w:bookmarkStart w:id="0" w:name="_GoBack"/>
      <w:bookmarkEnd w:id="0"/>
      <w:r>
        <w:rPr>
          <w:rFonts w:cstheme="minorHAnsi"/>
        </w:rPr>
        <w:t xml:space="preserve">Statement of Consideration (SOC) </w:t>
      </w:r>
    </w:p>
    <w:p w14:paraId="537F46E2" w14:textId="77777777" w:rsidR="00470664" w:rsidRDefault="00470664" w:rsidP="00470664">
      <w:pPr>
        <w:jc w:val="center"/>
        <w:rPr>
          <w:rFonts w:cstheme="minorHAnsi"/>
        </w:rPr>
      </w:pPr>
      <w:r>
        <w:rPr>
          <w:rFonts w:cstheme="minorHAnsi"/>
        </w:rPr>
        <w:t xml:space="preserve">PPTL 20-16 SOP 11.30 Permanency Hearings and ASFA Exemption Request form </w:t>
      </w:r>
    </w:p>
    <w:p w14:paraId="54CF412C" w14:textId="77777777" w:rsidR="00470664" w:rsidRDefault="00470664" w:rsidP="00470664">
      <w:pPr>
        <w:tabs>
          <w:tab w:val="left" w:pos="0"/>
        </w:tabs>
        <w:spacing w:line="240" w:lineRule="auto"/>
        <w:rPr>
          <w:rFonts w:cstheme="minorHAnsi"/>
        </w:rPr>
      </w:pPr>
      <w:r>
        <w:rPr>
          <w:rFonts w:cstheme="minorHAnsi"/>
        </w:rPr>
        <w:t xml:space="preserve">The following comments </w:t>
      </w:r>
      <w:proofErr w:type="gramStart"/>
      <w:r>
        <w:rPr>
          <w:rFonts w:cstheme="minorHAnsi"/>
        </w:rPr>
        <w:t>were received</w:t>
      </w:r>
      <w:proofErr w:type="gramEnd"/>
      <w:r>
        <w:rPr>
          <w:rFonts w:cstheme="minorHAnsi"/>
        </w:rPr>
        <w:t xml:space="preserve"> in response to SOP drafts sent for field review.  Thanks to those who reviewed and commented.  Comments about typographical and grammatical errors </w:t>
      </w:r>
      <w:proofErr w:type="gramStart"/>
      <w:r>
        <w:rPr>
          <w:rFonts w:cstheme="minorHAnsi"/>
        </w:rPr>
        <w:t>are excluded</w:t>
      </w:r>
      <w:proofErr w:type="gramEnd"/>
      <w:r>
        <w:rPr>
          <w:rFonts w:cstheme="minorHAnsi"/>
        </w:rPr>
        <w:t>; these errors have been corrected as appropriate.</w:t>
      </w:r>
    </w:p>
    <w:p w14:paraId="2E04133F" w14:textId="77777777" w:rsidR="00470664" w:rsidRDefault="00470664" w:rsidP="00470664">
      <w:pPr>
        <w:tabs>
          <w:tab w:val="left" w:pos="0"/>
        </w:tabs>
        <w:spacing w:line="240" w:lineRule="auto"/>
        <w:rPr>
          <w:rFonts w:cstheme="minorHAnsi"/>
          <w:b/>
          <w:u w:val="single"/>
        </w:rPr>
      </w:pPr>
      <w:r>
        <w:rPr>
          <w:rFonts w:cstheme="minorHAnsi"/>
          <w:b/>
          <w:u w:val="single"/>
        </w:rPr>
        <w:t xml:space="preserve"> SOP 11.30</w:t>
      </w:r>
    </w:p>
    <w:p w14:paraId="6D631EB1" w14:textId="77777777" w:rsidR="00470664" w:rsidRDefault="00470664" w:rsidP="00470664">
      <w:pPr>
        <w:pStyle w:val="ListParagraph"/>
        <w:numPr>
          <w:ilvl w:val="0"/>
          <w:numId w:val="39"/>
        </w:numPr>
        <w:spacing w:line="252" w:lineRule="auto"/>
        <w:rPr>
          <w:rFonts w:cstheme="minorHAnsi"/>
        </w:rPr>
      </w:pPr>
      <w:r>
        <w:rPr>
          <w:rFonts w:cstheme="minorHAnsi"/>
          <w:b/>
        </w:rPr>
        <w:t xml:space="preserve">COMMENT:   </w:t>
      </w:r>
      <w:r>
        <w:rPr>
          <w:rFonts w:cstheme="minorHAnsi"/>
          <w:b/>
          <w:bCs/>
        </w:rPr>
        <w:t>A. (</w:t>
      </w:r>
      <w:proofErr w:type="spellStart"/>
      <w:r>
        <w:rPr>
          <w:rFonts w:cstheme="minorHAnsi"/>
          <w:b/>
          <w:bCs/>
        </w:rPr>
        <w:t>i</w:t>
      </w:r>
      <w:proofErr w:type="spellEnd"/>
      <w:r>
        <w:rPr>
          <w:rFonts w:cstheme="minorHAnsi"/>
          <w:b/>
          <w:bCs/>
        </w:rPr>
        <w:t>) When the child is being cared for by relatives or fictive kin and the cabinet plans to recommend that the caregiver become a permanent custodian;</w:t>
      </w:r>
    </w:p>
    <w:p w14:paraId="0E9D5F18" w14:textId="77777777" w:rsidR="00470664" w:rsidRDefault="00470664" w:rsidP="00470664">
      <w:pPr>
        <w:pStyle w:val="ListParagraph"/>
        <w:rPr>
          <w:rFonts w:cstheme="minorHAnsi"/>
        </w:rPr>
      </w:pPr>
      <w:r>
        <w:rPr>
          <w:rFonts w:cstheme="minorHAnsi"/>
        </w:rPr>
        <w:t xml:space="preserve">In the above section, some FSOS’s </w:t>
      </w:r>
      <w:proofErr w:type="gramStart"/>
      <w:r>
        <w:rPr>
          <w:rFonts w:cstheme="minorHAnsi"/>
        </w:rPr>
        <w:t>don’t</w:t>
      </w:r>
      <w:proofErr w:type="gramEnd"/>
      <w:r>
        <w:rPr>
          <w:rFonts w:cstheme="minorHAnsi"/>
        </w:rPr>
        <w:t xml:space="preserve"> think ASFA should be exempt if a child is in our custody just because he/she is placed with a relative or fictive kin.  This may cause workers to allow children to linger.  </w:t>
      </w:r>
      <w:proofErr w:type="gramStart"/>
      <w:r>
        <w:rPr>
          <w:rFonts w:cstheme="minorHAnsi"/>
        </w:rPr>
        <w:t>Staff feel</w:t>
      </w:r>
      <w:proofErr w:type="gramEnd"/>
      <w:r>
        <w:rPr>
          <w:rFonts w:cstheme="minorHAnsi"/>
        </w:rPr>
        <w:t xml:space="preserve"> the point of them being in foster care is so that the relative can be a foster parent and get the same benefits, which include the process of TPR.  This will allow courts not to have to pursue permanency when a child is with a relative/fictive kin and in our custody.  The court also has to grant it on the Permanency order.  SOP does not specify this or where it is to be written and how.  Many workers complete these orders and sometimes Judges </w:t>
      </w:r>
      <w:proofErr w:type="gramStart"/>
      <w:r>
        <w:rPr>
          <w:rFonts w:cstheme="minorHAnsi"/>
        </w:rPr>
        <w:t>don’t</w:t>
      </w:r>
      <w:proofErr w:type="gramEnd"/>
      <w:r>
        <w:rPr>
          <w:rFonts w:cstheme="minorHAnsi"/>
        </w:rPr>
        <w:t xml:space="preserve"> complete them correctly. </w:t>
      </w:r>
    </w:p>
    <w:p w14:paraId="4655D9AF" w14:textId="77777777" w:rsidR="00470664" w:rsidRDefault="00470664" w:rsidP="00470664">
      <w:pPr>
        <w:pStyle w:val="ListParagraph"/>
        <w:rPr>
          <w:rFonts w:cstheme="minorHAnsi"/>
          <w:b/>
        </w:rPr>
      </w:pPr>
    </w:p>
    <w:p w14:paraId="668CF0BA" w14:textId="77777777" w:rsidR="00470664" w:rsidRDefault="00470664" w:rsidP="00470664">
      <w:pPr>
        <w:pStyle w:val="ListParagraph"/>
        <w:rPr>
          <w:rFonts w:cstheme="minorHAnsi"/>
        </w:rPr>
      </w:pPr>
      <w:r>
        <w:rPr>
          <w:rFonts w:cstheme="minorHAnsi"/>
          <w:b/>
        </w:rPr>
        <w:t xml:space="preserve">RESPONSE:  </w:t>
      </w:r>
      <w:r>
        <w:rPr>
          <w:rFonts w:cstheme="minorHAnsi"/>
        </w:rPr>
        <w:t>Relatives will continue to have the option to become a foster parent</w:t>
      </w:r>
      <w:proofErr w:type="gramStart"/>
      <w:r>
        <w:rPr>
          <w:rFonts w:cstheme="minorHAnsi"/>
        </w:rPr>
        <w:t xml:space="preserve">. </w:t>
      </w:r>
      <w:proofErr w:type="gramEnd"/>
      <w:r>
        <w:rPr>
          <w:rFonts w:cstheme="minorHAnsi"/>
        </w:rPr>
        <w:t xml:space="preserve">However, there may be situations where it is appropriate to seek an ASFA exemption.  For example, a child is in residential due to treatment needs, after 10 months in OOHC a relative </w:t>
      </w:r>
      <w:proofErr w:type="gramStart"/>
      <w:r>
        <w:rPr>
          <w:rFonts w:cstheme="minorHAnsi"/>
        </w:rPr>
        <w:t>is identified</w:t>
      </w:r>
      <w:proofErr w:type="gramEnd"/>
      <w:r>
        <w:rPr>
          <w:rFonts w:cstheme="minorHAnsi"/>
        </w:rPr>
        <w:t xml:space="preserve">.  At that time, the service array </w:t>
      </w:r>
      <w:proofErr w:type="gramStart"/>
      <w:r>
        <w:rPr>
          <w:rFonts w:cstheme="minorHAnsi"/>
        </w:rPr>
        <w:t>is offered</w:t>
      </w:r>
      <w:proofErr w:type="gramEnd"/>
      <w:r>
        <w:rPr>
          <w:rFonts w:cstheme="minorHAnsi"/>
        </w:rPr>
        <w:t xml:space="preserve"> and the relative chooses to seek custody.  An ASFA exemption </w:t>
      </w:r>
      <w:proofErr w:type="gramStart"/>
      <w:r>
        <w:rPr>
          <w:rFonts w:cstheme="minorHAnsi"/>
        </w:rPr>
        <w:t>is applied</w:t>
      </w:r>
      <w:proofErr w:type="gramEnd"/>
      <w:r>
        <w:rPr>
          <w:rFonts w:cstheme="minorHAnsi"/>
        </w:rPr>
        <w:t xml:space="preserve"> as the child transitions to the relative.  </w:t>
      </w:r>
    </w:p>
    <w:p w14:paraId="47FC0DD3" w14:textId="77777777" w:rsidR="00470664" w:rsidRDefault="00470664" w:rsidP="00470664">
      <w:pPr>
        <w:pStyle w:val="ListParagraph"/>
        <w:rPr>
          <w:rFonts w:cstheme="minorHAnsi"/>
        </w:rPr>
      </w:pPr>
    </w:p>
    <w:p w14:paraId="2BAB33F7" w14:textId="77777777" w:rsidR="00470664" w:rsidRDefault="00470664" w:rsidP="00470664">
      <w:pPr>
        <w:pStyle w:val="ListParagraph"/>
        <w:rPr>
          <w:rFonts w:cstheme="minorHAnsi"/>
        </w:rPr>
      </w:pPr>
      <w:hyperlink r:id="rId9" w:history="1">
        <w:proofErr w:type="gramStart"/>
        <w:r>
          <w:rPr>
            <w:rStyle w:val="Hyperlink"/>
          </w:rPr>
          <w:t>Section 475(5) of the Social Security Act (42 U.S.C. 675(5)(E)(</w:t>
        </w:r>
        <w:proofErr w:type="spellStart"/>
        <w:r>
          <w:rPr>
            <w:rStyle w:val="Hyperlink"/>
          </w:rPr>
          <w:t>i</w:t>
        </w:r>
        <w:proofErr w:type="spellEnd"/>
        <w:r>
          <w:rPr>
            <w:rStyle w:val="Hyperlink"/>
          </w:rPr>
          <w:t xml:space="preserve">) </w:t>
        </w:r>
      </w:hyperlink>
      <w:r>
        <w:t xml:space="preserve"> indicates “the State shall file a petition to terminate the parental rights of the child’s parents (or, if such a petition has been filed by another party, seek to be joined as a party to the petition), and, concurrently, to identify, recruit, process, and approve a qualified family for an adoption, unless— ‘‘(</w:t>
      </w:r>
      <w:proofErr w:type="spellStart"/>
      <w:r>
        <w:t>i</w:t>
      </w:r>
      <w:proofErr w:type="spellEnd"/>
      <w:r>
        <w:t>) at the option of the State, the child is being cared for by a relative;”</w:t>
      </w:r>
      <w:proofErr w:type="gramEnd"/>
      <w:r>
        <w:t xml:space="preserve"> </w:t>
      </w:r>
    </w:p>
    <w:p w14:paraId="61F55C2D" w14:textId="77777777" w:rsidR="00470664" w:rsidRDefault="00470664" w:rsidP="00470664">
      <w:pPr>
        <w:pStyle w:val="ListParagraph"/>
        <w:rPr>
          <w:rFonts w:cstheme="minorHAnsi"/>
        </w:rPr>
      </w:pPr>
    </w:p>
    <w:p w14:paraId="1CDE1533" w14:textId="77777777" w:rsidR="00470664" w:rsidRDefault="00470664" w:rsidP="00470664">
      <w:pPr>
        <w:pStyle w:val="ListParagraph"/>
        <w:rPr>
          <w:rFonts w:cstheme="minorHAnsi"/>
        </w:rPr>
      </w:pPr>
      <w:r>
        <w:rPr>
          <w:rFonts w:cstheme="minorHAnsi"/>
        </w:rPr>
        <w:t xml:space="preserve">Individual courts determine how orders are written/documented.  In regions where the worker prepares the document for the judge to sign, information should be included on the order that an ASFA exemption </w:t>
      </w:r>
      <w:proofErr w:type="gramStart"/>
      <w:r>
        <w:rPr>
          <w:rFonts w:cstheme="minorHAnsi"/>
        </w:rPr>
        <w:t>is approved</w:t>
      </w:r>
      <w:proofErr w:type="gramEnd"/>
      <w:r>
        <w:rPr>
          <w:rFonts w:cstheme="minorHAnsi"/>
        </w:rPr>
        <w:t xml:space="preserve">.  This </w:t>
      </w:r>
      <w:proofErr w:type="gramStart"/>
      <w:r>
        <w:rPr>
          <w:rFonts w:cstheme="minorHAnsi"/>
        </w:rPr>
        <w:t>should be completed</w:t>
      </w:r>
      <w:proofErr w:type="gramEnd"/>
      <w:r>
        <w:rPr>
          <w:rFonts w:cstheme="minorHAnsi"/>
        </w:rPr>
        <w:t xml:space="preserve"> on DNA-9.  </w:t>
      </w:r>
    </w:p>
    <w:p w14:paraId="0EDFF9C1" w14:textId="77777777" w:rsidR="00470664" w:rsidRDefault="00470664" w:rsidP="00470664">
      <w:pPr>
        <w:rPr>
          <w:rFonts w:cstheme="minorHAnsi"/>
          <w:b/>
        </w:rPr>
      </w:pPr>
    </w:p>
    <w:p w14:paraId="417D2BBE" w14:textId="77777777" w:rsidR="00470664" w:rsidRDefault="00470664" w:rsidP="00470664">
      <w:pPr>
        <w:pStyle w:val="ListParagraph"/>
        <w:numPr>
          <w:ilvl w:val="0"/>
          <w:numId w:val="39"/>
        </w:numPr>
        <w:spacing w:line="252" w:lineRule="auto"/>
        <w:rPr>
          <w:rFonts w:cstheme="minorHAnsi"/>
          <w:b/>
        </w:rPr>
      </w:pPr>
      <w:r>
        <w:rPr>
          <w:rFonts w:cstheme="minorHAnsi"/>
          <w:b/>
        </w:rPr>
        <w:t xml:space="preserve">COMMENT:  </w:t>
      </w:r>
      <w:r>
        <w:rPr>
          <w:rFonts w:cstheme="minorHAnsi"/>
          <w:b/>
          <w:bCs/>
        </w:rPr>
        <w:t>A. (iii)The parent(s) are making significant progress on the case plan goals and objectives; or</w:t>
      </w:r>
    </w:p>
    <w:p w14:paraId="7A03EE90" w14:textId="77777777" w:rsidR="00470664" w:rsidRDefault="00470664" w:rsidP="00470664">
      <w:pPr>
        <w:pStyle w:val="ListParagraph"/>
        <w:rPr>
          <w:rFonts w:cstheme="minorHAnsi"/>
        </w:rPr>
      </w:pPr>
      <w:r>
        <w:rPr>
          <w:rFonts w:cstheme="minorHAnsi"/>
        </w:rPr>
        <w:t xml:space="preserve">In the above section, </w:t>
      </w:r>
      <w:proofErr w:type="gramStart"/>
      <w:r>
        <w:rPr>
          <w:rFonts w:cstheme="minorHAnsi"/>
        </w:rPr>
        <w:t>staff feel</w:t>
      </w:r>
      <w:proofErr w:type="gramEnd"/>
      <w:r>
        <w:rPr>
          <w:rFonts w:cstheme="minorHAnsi"/>
        </w:rPr>
        <w:t xml:space="preserve"> this is a bit vague and might be perceived differently case-by-case and region by region.  Some parents may not begin services until 2 or 3 months prior to the permanency hearing and they may be doing well at that time, would we consider that significant progress even though they just recently began services but are doing much better? </w:t>
      </w:r>
    </w:p>
    <w:p w14:paraId="03E402A7" w14:textId="77777777" w:rsidR="00470664" w:rsidRDefault="00470664" w:rsidP="00470664">
      <w:pPr>
        <w:pStyle w:val="ListParagraph"/>
        <w:rPr>
          <w:rFonts w:cstheme="minorHAnsi"/>
        </w:rPr>
      </w:pPr>
    </w:p>
    <w:p w14:paraId="5D46695A" w14:textId="77777777" w:rsidR="00470664" w:rsidRDefault="00470664" w:rsidP="00470664">
      <w:pPr>
        <w:pStyle w:val="ListParagraph"/>
        <w:rPr>
          <w:rFonts w:cstheme="minorHAnsi"/>
        </w:rPr>
      </w:pPr>
      <w:r>
        <w:rPr>
          <w:rFonts w:cstheme="minorHAnsi"/>
          <w:b/>
        </w:rPr>
        <w:t xml:space="preserve">RESPONSE:  </w:t>
      </w:r>
      <w:r>
        <w:rPr>
          <w:rFonts w:cstheme="minorHAnsi"/>
        </w:rPr>
        <w:t xml:space="preserve">All cases should have a pre-permanency conference at nine months, at that time the case specifics </w:t>
      </w:r>
      <w:proofErr w:type="gramStart"/>
      <w:r>
        <w:rPr>
          <w:rFonts w:cstheme="minorHAnsi"/>
        </w:rPr>
        <w:t>can be discussed and assessed jointly with Office of Legal Services regarding a goal change or ASFA exemption</w:t>
      </w:r>
      <w:proofErr w:type="gramEnd"/>
      <w:r>
        <w:rPr>
          <w:rFonts w:cstheme="minorHAnsi"/>
        </w:rPr>
        <w:t xml:space="preserve">.  </w:t>
      </w:r>
    </w:p>
    <w:p w14:paraId="714493BC" w14:textId="77777777" w:rsidR="00470664" w:rsidRDefault="00470664" w:rsidP="00470664">
      <w:pPr>
        <w:pStyle w:val="ListParagraph"/>
        <w:rPr>
          <w:rFonts w:cstheme="minorHAnsi"/>
        </w:rPr>
      </w:pPr>
    </w:p>
    <w:p w14:paraId="6EE47EAB" w14:textId="77777777" w:rsidR="00470664" w:rsidRDefault="00470664" w:rsidP="00470664">
      <w:pPr>
        <w:pStyle w:val="ListParagraph"/>
        <w:rPr>
          <w:rFonts w:cstheme="minorHAnsi"/>
        </w:rPr>
      </w:pPr>
      <w:hyperlink r:id="rId10" w:history="1">
        <w:r>
          <w:rPr>
            <w:rStyle w:val="Hyperlink"/>
            <w:rFonts w:cstheme="minorHAnsi"/>
          </w:rPr>
          <w:t>KRS 610.125 (4) (d)</w:t>
        </w:r>
      </w:hyperlink>
      <w:r>
        <w:rPr>
          <w:rFonts w:cstheme="minorHAnsi"/>
        </w:rPr>
        <w:t xml:space="preserve"> advises that the Cabinet shall provide evidence to the court concerning the efforts and progress of the child’s parent since the last case permanency plan and case progress report, including the number and dates of parental visits and the extent, quality, and frequency of the parent’s communication with the child.</w:t>
      </w:r>
    </w:p>
    <w:p w14:paraId="4EDC4B33" w14:textId="77777777" w:rsidR="00470664" w:rsidRDefault="00470664" w:rsidP="00470664">
      <w:pPr>
        <w:pStyle w:val="ListParagraph"/>
        <w:rPr>
          <w:rFonts w:cstheme="minorHAnsi"/>
          <w:b/>
        </w:rPr>
      </w:pPr>
    </w:p>
    <w:p w14:paraId="743DBEB6" w14:textId="77777777" w:rsidR="00470664" w:rsidRDefault="00470664" w:rsidP="00470664">
      <w:pPr>
        <w:pStyle w:val="ListParagraph"/>
        <w:numPr>
          <w:ilvl w:val="0"/>
          <w:numId w:val="39"/>
        </w:numPr>
        <w:spacing w:line="252" w:lineRule="auto"/>
        <w:rPr>
          <w:rFonts w:cstheme="minorHAnsi"/>
        </w:rPr>
      </w:pPr>
      <w:r>
        <w:rPr>
          <w:rFonts w:cstheme="minorHAnsi"/>
          <w:b/>
        </w:rPr>
        <w:t xml:space="preserve">COMMENT:  </w:t>
      </w:r>
      <w:r>
        <w:rPr>
          <w:rFonts w:cstheme="minorHAnsi"/>
        </w:rPr>
        <w:t xml:space="preserve">In </w:t>
      </w:r>
      <w:proofErr w:type="gramStart"/>
      <w:r>
        <w:rPr>
          <w:rFonts w:cstheme="minorHAnsi"/>
        </w:rPr>
        <w:t>cases</w:t>
      </w:r>
      <w:proofErr w:type="gramEnd"/>
      <w:r>
        <w:rPr>
          <w:rFonts w:cstheme="minorHAnsi"/>
        </w:rPr>
        <w:t xml:space="preserve"> we say the parents are making significant progress so we grant an ASFA exemption, how long do the parents have then to complete that case plan before we look toward TPR or other alternatives for that child?  FSOS’s feel that staff should be required to submit this form every 6 months for review in cases where we use iii as the reason for exemption because people make significant progress and then disappear or relapse and regress sometimes.  This would ensure that children continue to move towards permanency if the parents failed to meet their case plan goals.  </w:t>
      </w:r>
    </w:p>
    <w:p w14:paraId="7FCA4E7D" w14:textId="77777777" w:rsidR="00470664" w:rsidRDefault="00470664" w:rsidP="00470664">
      <w:pPr>
        <w:pStyle w:val="ListParagraph"/>
        <w:rPr>
          <w:rFonts w:cstheme="minorHAnsi"/>
        </w:rPr>
      </w:pPr>
    </w:p>
    <w:p w14:paraId="0F3213B7" w14:textId="77777777" w:rsidR="00470664" w:rsidRDefault="00470664" w:rsidP="00470664">
      <w:pPr>
        <w:pStyle w:val="ListParagraph"/>
        <w:rPr>
          <w:rFonts w:cstheme="minorHAnsi"/>
        </w:rPr>
      </w:pPr>
      <w:r>
        <w:rPr>
          <w:rFonts w:cstheme="minorHAnsi"/>
          <w:b/>
        </w:rPr>
        <w:t xml:space="preserve">RESPONSE:  </w:t>
      </w:r>
      <w:r>
        <w:rPr>
          <w:rFonts w:cstheme="minorHAnsi"/>
        </w:rPr>
        <w:t xml:space="preserve">There is no need to re-submit the exemption form as cases </w:t>
      </w:r>
      <w:proofErr w:type="gramStart"/>
      <w:r>
        <w:rPr>
          <w:rFonts w:cstheme="minorHAnsi"/>
        </w:rPr>
        <w:t>will be reviewed</w:t>
      </w:r>
      <w:proofErr w:type="gramEnd"/>
      <w:r>
        <w:rPr>
          <w:rFonts w:cstheme="minorHAnsi"/>
        </w:rPr>
        <w:t xml:space="preserve"> every 90 days in court and the case can be re-assessed at that time.  </w:t>
      </w:r>
    </w:p>
    <w:p w14:paraId="0F2B022A" w14:textId="77777777" w:rsidR="00470664" w:rsidRDefault="00470664" w:rsidP="00470664">
      <w:pPr>
        <w:pStyle w:val="ListParagraph"/>
        <w:rPr>
          <w:rFonts w:cstheme="minorHAnsi"/>
        </w:rPr>
      </w:pPr>
    </w:p>
    <w:p w14:paraId="7FFEBEF3" w14:textId="77777777" w:rsidR="00470664" w:rsidRDefault="00470664" w:rsidP="00470664">
      <w:pPr>
        <w:pStyle w:val="ListParagraph"/>
        <w:rPr>
          <w:rFonts w:cstheme="minorHAnsi"/>
          <w:b/>
        </w:rPr>
      </w:pPr>
    </w:p>
    <w:p w14:paraId="6AF06B3B" w14:textId="77777777" w:rsidR="00470664" w:rsidRDefault="00470664" w:rsidP="00470664">
      <w:pPr>
        <w:pStyle w:val="ListParagraph"/>
        <w:numPr>
          <w:ilvl w:val="0"/>
          <w:numId w:val="39"/>
        </w:numPr>
        <w:spacing w:line="252" w:lineRule="auto"/>
        <w:rPr>
          <w:rFonts w:cstheme="minorHAnsi"/>
        </w:rPr>
      </w:pPr>
      <w:r>
        <w:rPr>
          <w:rFonts w:cstheme="minorHAnsi"/>
          <w:b/>
        </w:rPr>
        <w:t xml:space="preserve">COMMENT:  </w:t>
      </w:r>
      <w:r>
        <w:rPr>
          <w:rFonts w:cstheme="minorHAnsi"/>
        </w:rPr>
        <w:t xml:space="preserve">We </w:t>
      </w:r>
      <w:proofErr w:type="gramStart"/>
      <w:r>
        <w:rPr>
          <w:rFonts w:cstheme="minorHAnsi"/>
        </w:rPr>
        <w:t>don’t</w:t>
      </w:r>
      <w:proofErr w:type="gramEnd"/>
      <w:r>
        <w:rPr>
          <w:rFonts w:cstheme="minorHAnsi"/>
        </w:rPr>
        <w:t xml:space="preserve"> need the court’s approval to do an ASFA exemption.  </w:t>
      </w:r>
      <w:proofErr w:type="gramStart"/>
      <w:r>
        <w:rPr>
          <w:rFonts w:cstheme="minorHAnsi"/>
        </w:rPr>
        <w:t>We approve them and chose not to file TPR accordingly.</w:t>
      </w:r>
      <w:proofErr w:type="gramEnd"/>
      <w:r>
        <w:rPr>
          <w:rFonts w:cstheme="minorHAnsi"/>
        </w:rPr>
        <w:t xml:space="preserve">  This </w:t>
      </w:r>
      <w:proofErr w:type="gramStart"/>
      <w:r>
        <w:rPr>
          <w:rFonts w:cstheme="minorHAnsi"/>
        </w:rPr>
        <w:t>is worded</w:t>
      </w:r>
      <w:proofErr w:type="gramEnd"/>
      <w:r>
        <w:rPr>
          <w:rFonts w:cstheme="minorHAnsi"/>
        </w:rPr>
        <w:t xml:space="preserve"> as though we need the court’s approval.  The federal law does NOT require that.  </w:t>
      </w:r>
    </w:p>
    <w:p w14:paraId="244EB97C" w14:textId="77777777" w:rsidR="00470664" w:rsidRDefault="00470664" w:rsidP="00470664">
      <w:pPr>
        <w:pStyle w:val="ListParagraph"/>
        <w:rPr>
          <w:rFonts w:cstheme="minorHAnsi"/>
          <w:b/>
        </w:rPr>
      </w:pPr>
      <w:proofErr w:type="gramStart"/>
      <w:r>
        <w:rPr>
          <w:rFonts w:cstheme="minorHAnsi"/>
        </w:rPr>
        <w:t>This</w:t>
      </w:r>
      <w:proofErr w:type="gramEnd"/>
      <w:r>
        <w:rPr>
          <w:rFonts w:cstheme="minorHAnsi"/>
        </w:rPr>
        <w:t xml:space="preserve"> wording that implies that we need the court’s permission to NOT file a TPR per an ASFA exemption.  That is problematic in terms of separation of powers under the Kentucky Constitution.  The state agency elects to file a TPR or not, and we are not required to file a petition or TPR based on the direction of the court.  We do NOT need the court’s permission </w:t>
      </w:r>
      <w:proofErr w:type="gramStart"/>
      <w:r>
        <w:rPr>
          <w:rFonts w:cstheme="minorHAnsi"/>
        </w:rPr>
        <w:t>to NOT file</w:t>
      </w:r>
      <w:proofErr w:type="gramEnd"/>
      <w:r>
        <w:rPr>
          <w:rFonts w:cstheme="minorHAnsi"/>
        </w:rPr>
        <w:t xml:space="preserve"> a TPR.  </w:t>
      </w:r>
    </w:p>
    <w:p w14:paraId="7B2E980B" w14:textId="77777777" w:rsidR="00470664" w:rsidRDefault="00470664" w:rsidP="00470664">
      <w:pPr>
        <w:pStyle w:val="ListParagraph"/>
        <w:rPr>
          <w:rFonts w:cstheme="minorHAnsi"/>
          <w:b/>
        </w:rPr>
      </w:pPr>
    </w:p>
    <w:p w14:paraId="458BE192" w14:textId="77777777" w:rsidR="00470664" w:rsidRDefault="00470664" w:rsidP="00470664">
      <w:pPr>
        <w:autoSpaceDE w:val="0"/>
        <w:autoSpaceDN w:val="0"/>
        <w:adjustRightInd w:val="0"/>
        <w:spacing w:after="0" w:line="240" w:lineRule="auto"/>
        <w:ind w:left="720"/>
        <w:rPr>
          <w:rFonts w:cs="NewCenturySchlbk-Roman"/>
        </w:rPr>
      </w:pPr>
      <w:r>
        <w:rPr>
          <w:rFonts w:cstheme="minorHAnsi"/>
          <w:b/>
        </w:rPr>
        <w:t xml:space="preserve">RESPONSE:  </w:t>
      </w:r>
      <w:r>
        <w:rPr>
          <w:rFonts w:cstheme="minorHAnsi"/>
        </w:rPr>
        <w:t xml:space="preserve">ASFA requires that permanency hearings </w:t>
      </w:r>
      <w:proofErr w:type="gramStart"/>
      <w:r>
        <w:rPr>
          <w:rFonts w:cstheme="minorHAnsi"/>
        </w:rPr>
        <w:t>be completed</w:t>
      </w:r>
      <w:proofErr w:type="gramEnd"/>
      <w:r>
        <w:rPr>
          <w:rFonts w:cstheme="minorHAnsi"/>
        </w:rPr>
        <w:t xml:space="preserve"> every 12 months.  KRS 610.125 requires that a judge conduct the permanency hearing/review.  Language in the statute states that DCBS makes a recommendation regarding the permanency goal for the child.  Upon conclusion of the hearing, the court shall make a written order determining the permanency plan for the child.  </w:t>
      </w:r>
      <w:hyperlink r:id="rId11" w:history="1">
        <w:proofErr w:type="gramStart"/>
        <w:r>
          <w:rPr>
            <w:rStyle w:val="Hyperlink"/>
          </w:rPr>
          <w:t>Public Law 105-89</w:t>
        </w:r>
      </w:hyperlink>
      <w:r>
        <w:t xml:space="preserve">  Sec. 302 Permanency Hearings, requires that the state document a </w:t>
      </w:r>
      <w:r>
        <w:rPr>
          <w:rFonts w:cs="NewCenturySchlbk-Roman"/>
        </w:rPr>
        <w:t>‘‘permanency plan for the child that includes whether, and if applicable when, the child will be returned to the parent, placed for adoption and the State will file a petition for termination of parental rights, … the State agency has documented to the State court a compelling reason for determining that it would not be in the best interests of the child to return home, be referred for termination of parental rights, or be placed for adoption, with a fit and willing relative, or with a legal guardian) placed in another planned permanent living arrangement.”</w:t>
      </w:r>
      <w:proofErr w:type="gramEnd"/>
    </w:p>
    <w:p w14:paraId="22597662" w14:textId="77777777" w:rsidR="00470664" w:rsidRDefault="00470664" w:rsidP="00470664">
      <w:pPr>
        <w:pStyle w:val="ListParagraph"/>
        <w:rPr>
          <w:rFonts w:cstheme="minorHAnsi"/>
        </w:rPr>
      </w:pPr>
    </w:p>
    <w:p w14:paraId="5D1F46FF" w14:textId="77777777" w:rsidR="00470664" w:rsidRDefault="00470664" w:rsidP="00470664">
      <w:pPr>
        <w:pStyle w:val="ListParagraph"/>
        <w:ind w:left="0"/>
        <w:rPr>
          <w:rFonts w:cstheme="minorHAnsi"/>
          <w:b/>
        </w:rPr>
      </w:pPr>
    </w:p>
    <w:p w14:paraId="13F383B9" w14:textId="77777777" w:rsidR="00470664" w:rsidRDefault="00470664" w:rsidP="00470664">
      <w:pPr>
        <w:pStyle w:val="ListParagraph"/>
        <w:ind w:left="0"/>
        <w:rPr>
          <w:rFonts w:cstheme="minorHAnsi"/>
          <w:b/>
        </w:rPr>
      </w:pPr>
    </w:p>
    <w:p w14:paraId="001116F2" w14:textId="77777777" w:rsidR="00470664" w:rsidRDefault="00470664" w:rsidP="00470664">
      <w:pPr>
        <w:pStyle w:val="ListParagraph"/>
        <w:ind w:left="0"/>
        <w:rPr>
          <w:rFonts w:cstheme="minorHAnsi"/>
          <w:b/>
          <w:u w:val="single"/>
        </w:rPr>
      </w:pPr>
      <w:r>
        <w:rPr>
          <w:rFonts w:cstheme="minorHAnsi"/>
          <w:b/>
          <w:u w:val="single"/>
        </w:rPr>
        <w:t>ASFA Exemption Request form</w:t>
      </w:r>
    </w:p>
    <w:p w14:paraId="2AA9E103" w14:textId="77777777" w:rsidR="00470664" w:rsidRDefault="00470664" w:rsidP="00470664">
      <w:pPr>
        <w:pStyle w:val="ListParagraph"/>
        <w:ind w:left="0"/>
        <w:rPr>
          <w:rFonts w:cstheme="minorHAnsi"/>
          <w:b/>
        </w:rPr>
      </w:pPr>
    </w:p>
    <w:p w14:paraId="5229F22D" w14:textId="77777777" w:rsidR="00470664" w:rsidRDefault="00470664" w:rsidP="00470664">
      <w:pPr>
        <w:pStyle w:val="ListParagraph"/>
        <w:numPr>
          <w:ilvl w:val="0"/>
          <w:numId w:val="40"/>
        </w:numPr>
        <w:spacing w:line="252" w:lineRule="auto"/>
        <w:rPr>
          <w:rFonts w:cstheme="minorHAnsi"/>
        </w:rPr>
      </w:pPr>
      <w:r>
        <w:rPr>
          <w:rFonts w:cstheme="minorHAnsi"/>
          <w:b/>
        </w:rPr>
        <w:t xml:space="preserve">COMMENT:  </w:t>
      </w:r>
      <w:r>
        <w:rPr>
          <w:rFonts w:cstheme="minorHAnsi"/>
        </w:rPr>
        <w:t xml:space="preserve">Staff really </w:t>
      </w:r>
      <w:proofErr w:type="gramStart"/>
      <w:r>
        <w:rPr>
          <w:rFonts w:cstheme="minorHAnsi"/>
        </w:rPr>
        <w:t>like</w:t>
      </w:r>
      <w:proofErr w:type="gramEnd"/>
      <w:r>
        <w:rPr>
          <w:rFonts w:cstheme="minorHAnsi"/>
        </w:rPr>
        <w:t xml:space="preserve"> the ASFA Exemption Request form.  There should be a timeframe when the memo needs to be completed and </w:t>
      </w:r>
      <w:proofErr w:type="gramStart"/>
      <w:r>
        <w:rPr>
          <w:rFonts w:cstheme="minorHAnsi"/>
        </w:rPr>
        <w:t>submitted</w:t>
      </w:r>
      <w:proofErr w:type="gramEnd"/>
      <w:r>
        <w:rPr>
          <w:rFonts w:cstheme="minorHAnsi"/>
        </w:rPr>
        <w:t xml:space="preserve"> instead of just prior to requesting it from the court.  For example, 30 days prior to the permanency hearing. </w:t>
      </w:r>
    </w:p>
    <w:p w14:paraId="2E3C97C4" w14:textId="77777777" w:rsidR="00470664" w:rsidRDefault="00470664" w:rsidP="00470664">
      <w:pPr>
        <w:pStyle w:val="ListParagraph"/>
        <w:rPr>
          <w:rFonts w:cstheme="minorHAnsi"/>
          <w:b/>
        </w:rPr>
      </w:pPr>
    </w:p>
    <w:p w14:paraId="659717DD" w14:textId="77777777" w:rsidR="00470664" w:rsidRDefault="00470664" w:rsidP="00470664">
      <w:pPr>
        <w:ind w:left="720"/>
      </w:pPr>
      <w:r>
        <w:rPr>
          <w:rFonts w:cstheme="minorHAnsi"/>
          <w:b/>
        </w:rPr>
        <w:t xml:space="preserve">RESPONSE:  </w:t>
      </w:r>
      <w:r>
        <w:rPr>
          <w:rFonts w:cstheme="minorHAnsi"/>
        </w:rPr>
        <w:t xml:space="preserve">The form is a template.  Additional requirements </w:t>
      </w:r>
      <w:proofErr w:type="gramStart"/>
      <w:r>
        <w:rPr>
          <w:rFonts w:cstheme="minorHAnsi"/>
        </w:rPr>
        <w:t>can be added</w:t>
      </w:r>
      <w:proofErr w:type="gramEnd"/>
      <w:r>
        <w:rPr>
          <w:rFonts w:cstheme="minorHAnsi"/>
        </w:rPr>
        <w:t xml:space="preserve"> at the regional level</w:t>
      </w:r>
    </w:p>
    <w:p w14:paraId="707B5512" w14:textId="77777777" w:rsidR="00A5468F" w:rsidRPr="00470664" w:rsidRDefault="00A5468F" w:rsidP="00470664"/>
    <w:sectPr w:rsidR="00A5468F" w:rsidRPr="00470664" w:rsidSect="00470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991"/>
    <w:multiLevelType w:val="hybridMultilevel"/>
    <w:tmpl w:val="22BE3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E66C2"/>
    <w:multiLevelType w:val="hybridMultilevel"/>
    <w:tmpl w:val="B346215C"/>
    <w:lvl w:ilvl="0" w:tplc="5E2C1212">
      <w:start w:val="12"/>
      <w:numFmt w:val="decimal"/>
      <w:lvlText w:val="%1"/>
      <w:lvlJc w:val="left"/>
      <w:pPr>
        <w:ind w:left="720" w:hanging="360"/>
      </w:pPr>
      <w:rPr>
        <w:rFonts w:eastAsia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7F4"/>
    <w:multiLevelType w:val="hybridMultilevel"/>
    <w:tmpl w:val="BC8E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92820"/>
    <w:multiLevelType w:val="hybridMultilevel"/>
    <w:tmpl w:val="2FD68076"/>
    <w:lvl w:ilvl="0" w:tplc="AEC0A7A6">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978A7"/>
    <w:multiLevelType w:val="multilevel"/>
    <w:tmpl w:val="93AA699E"/>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168F2DE5"/>
    <w:multiLevelType w:val="hybridMultilevel"/>
    <w:tmpl w:val="C8D4F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13144"/>
    <w:multiLevelType w:val="hybridMultilevel"/>
    <w:tmpl w:val="AD80B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786ED0"/>
    <w:multiLevelType w:val="hybridMultilevel"/>
    <w:tmpl w:val="E9E4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56EA"/>
    <w:multiLevelType w:val="hybridMultilevel"/>
    <w:tmpl w:val="49D27F56"/>
    <w:lvl w:ilvl="0" w:tplc="E3E42498">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EE3B47"/>
    <w:multiLevelType w:val="hybridMultilevel"/>
    <w:tmpl w:val="4650D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500F46"/>
    <w:multiLevelType w:val="hybridMultilevel"/>
    <w:tmpl w:val="69A4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C6258"/>
    <w:multiLevelType w:val="hybridMultilevel"/>
    <w:tmpl w:val="568A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2960D5"/>
    <w:multiLevelType w:val="hybridMultilevel"/>
    <w:tmpl w:val="C8D4F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03671"/>
    <w:multiLevelType w:val="hybridMultilevel"/>
    <w:tmpl w:val="8BAE18C2"/>
    <w:lvl w:ilvl="0" w:tplc="2F845836">
      <w:start w:val="8"/>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2F655DA"/>
    <w:multiLevelType w:val="hybridMultilevel"/>
    <w:tmpl w:val="D87C9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FB1324"/>
    <w:multiLevelType w:val="hybridMultilevel"/>
    <w:tmpl w:val="1A8CF54C"/>
    <w:lvl w:ilvl="0" w:tplc="4D38B35C">
      <w:start w:val="1"/>
      <w:numFmt w:val="decimal"/>
      <w:lvlText w:val="%1"/>
      <w:lvlJc w:val="left"/>
      <w:pPr>
        <w:ind w:left="720" w:hanging="360"/>
      </w:pPr>
      <w:rPr>
        <w:rFonts w:eastAsia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81FFA"/>
    <w:multiLevelType w:val="hybridMultilevel"/>
    <w:tmpl w:val="C45EDC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51AC3"/>
    <w:multiLevelType w:val="hybridMultilevel"/>
    <w:tmpl w:val="E33CFA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38557F"/>
    <w:multiLevelType w:val="hybridMultilevel"/>
    <w:tmpl w:val="DD802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C034E2"/>
    <w:multiLevelType w:val="hybridMultilevel"/>
    <w:tmpl w:val="02549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B810F5"/>
    <w:multiLevelType w:val="hybridMultilevel"/>
    <w:tmpl w:val="E20EB98E"/>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F4792"/>
    <w:multiLevelType w:val="hybridMultilevel"/>
    <w:tmpl w:val="A3CE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53287"/>
    <w:multiLevelType w:val="hybridMultilevel"/>
    <w:tmpl w:val="21B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0D97"/>
    <w:multiLevelType w:val="hybridMultilevel"/>
    <w:tmpl w:val="30802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73CDE"/>
    <w:multiLevelType w:val="hybridMultilevel"/>
    <w:tmpl w:val="95E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7E4"/>
    <w:multiLevelType w:val="hybridMultilevel"/>
    <w:tmpl w:val="D5000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B2E21"/>
    <w:multiLevelType w:val="hybridMultilevel"/>
    <w:tmpl w:val="DA429A8E"/>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55022"/>
    <w:multiLevelType w:val="hybridMultilevel"/>
    <w:tmpl w:val="F7C4C9CA"/>
    <w:lvl w:ilvl="0" w:tplc="BF30194C">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E4C160A"/>
    <w:multiLevelType w:val="hybridMultilevel"/>
    <w:tmpl w:val="59CC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7C7"/>
    <w:multiLevelType w:val="hybridMultilevel"/>
    <w:tmpl w:val="7DF0D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6C4B58"/>
    <w:multiLevelType w:val="hybridMultilevel"/>
    <w:tmpl w:val="A3CE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E6024"/>
    <w:multiLevelType w:val="hybridMultilevel"/>
    <w:tmpl w:val="015C6CB0"/>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D257B"/>
    <w:multiLevelType w:val="hybridMultilevel"/>
    <w:tmpl w:val="3114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425A9"/>
    <w:multiLevelType w:val="hybridMultilevel"/>
    <w:tmpl w:val="E9505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FDE3A9F"/>
    <w:multiLevelType w:val="hybridMultilevel"/>
    <w:tmpl w:val="360CC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4"/>
  </w:num>
  <w:num w:numId="3">
    <w:abstractNumId w:val="18"/>
  </w:num>
  <w:num w:numId="4">
    <w:abstractNumId w:val="10"/>
  </w:num>
  <w:num w:numId="5">
    <w:abstractNumId w:val="21"/>
  </w:num>
  <w:num w:numId="6">
    <w:abstractNumId w:val="33"/>
  </w:num>
  <w:num w:numId="7">
    <w:abstractNumId w:val="33"/>
  </w:num>
  <w:num w:numId="8">
    <w:abstractNumId w:val="24"/>
  </w:num>
  <w:num w:numId="9">
    <w:abstractNumId w:val="7"/>
  </w:num>
  <w:num w:numId="10">
    <w:abstractNumId w:val="6"/>
  </w:num>
  <w:num w:numId="11">
    <w:abstractNumId w:val="34"/>
  </w:num>
  <w:num w:numId="12">
    <w:abstractNumId w:val="19"/>
  </w:num>
  <w:num w:numId="13">
    <w:abstractNumId w:val="2"/>
  </w:num>
  <w:num w:numId="14">
    <w:abstractNumId w:val="9"/>
  </w:num>
  <w:num w:numId="15">
    <w:abstractNumId w:val="11"/>
  </w:num>
  <w:num w:numId="16">
    <w:abstractNumId w:val="29"/>
  </w:num>
  <w:num w:numId="17">
    <w:abstractNumId w:val="0"/>
  </w:num>
  <w:num w:numId="18">
    <w:abstractNumId w:val="12"/>
  </w:num>
  <w:num w:numId="19">
    <w:abstractNumId w:val="4"/>
  </w:num>
  <w:num w:numId="20">
    <w:abstractNumId w:val="22"/>
  </w:num>
  <w:num w:numId="21">
    <w:abstractNumId w:val="28"/>
  </w:num>
  <w:num w:numId="22">
    <w:abstractNumId w:val="5"/>
  </w:num>
  <w:num w:numId="23">
    <w:abstractNumId w:val="32"/>
  </w:num>
  <w:num w:numId="24">
    <w:abstractNumId w:val="3"/>
  </w:num>
  <w:num w:numId="25">
    <w:abstractNumId w:val="16"/>
  </w:num>
  <w:num w:numId="26">
    <w:abstractNumId w:val="25"/>
  </w:num>
  <w:num w:numId="27">
    <w:abstractNumId w:val="23"/>
  </w:num>
  <w:num w:numId="28">
    <w:abstractNumId w:val="8"/>
  </w:num>
  <w:num w:numId="29">
    <w:abstractNumId w:val="20"/>
  </w:num>
  <w:num w:numId="30">
    <w:abstractNumId w:val="31"/>
  </w:num>
  <w:num w:numId="31">
    <w:abstractNumId w:val="26"/>
  </w:num>
  <w:num w:numId="32">
    <w:abstractNumId w:val="3"/>
    <w:lvlOverride w:ilvl="0">
      <w:lvl w:ilvl="0" w:tplc="AEC0A7A6">
        <w:start w:val="5"/>
        <w:numFmt w:val="decimal"/>
        <w:lvlText w:val="%1."/>
        <w:lvlJc w:val="left"/>
        <w:pPr>
          <w:ind w:left="720" w:hanging="360"/>
        </w:pPr>
        <w:rPr>
          <w:rFonts w:hint="default"/>
          <w:strike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
  </w:num>
  <w:num w:numId="34">
    <w:abstractNumId w:val="15"/>
  </w:num>
  <w:num w:numId="35">
    <w:abstractNumId w:val="27"/>
  </w:num>
  <w:num w:numId="3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A"/>
    <w:rsid w:val="000129B1"/>
    <w:rsid w:val="000474C9"/>
    <w:rsid w:val="000A7444"/>
    <w:rsid w:val="000C3780"/>
    <w:rsid w:val="000F170E"/>
    <w:rsid w:val="00193FF2"/>
    <w:rsid w:val="00197FE1"/>
    <w:rsid w:val="002246F1"/>
    <w:rsid w:val="0028096A"/>
    <w:rsid w:val="002A56BB"/>
    <w:rsid w:val="0038773B"/>
    <w:rsid w:val="003B69FA"/>
    <w:rsid w:val="00470664"/>
    <w:rsid w:val="00473B2A"/>
    <w:rsid w:val="005B2D28"/>
    <w:rsid w:val="006C2DEE"/>
    <w:rsid w:val="006C437E"/>
    <w:rsid w:val="00727C20"/>
    <w:rsid w:val="0076037F"/>
    <w:rsid w:val="008223D0"/>
    <w:rsid w:val="00833BF0"/>
    <w:rsid w:val="00855C93"/>
    <w:rsid w:val="00883BB1"/>
    <w:rsid w:val="008D128A"/>
    <w:rsid w:val="00A5468F"/>
    <w:rsid w:val="00A93B88"/>
    <w:rsid w:val="00AA4E94"/>
    <w:rsid w:val="00B64FAE"/>
    <w:rsid w:val="00CA0A2E"/>
    <w:rsid w:val="00CF7B35"/>
    <w:rsid w:val="00D56581"/>
    <w:rsid w:val="00F90408"/>
    <w:rsid w:val="00FA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0D09"/>
  <w15:chartTrackingRefBased/>
  <w15:docId w15:val="{D243BD7B-593A-4660-9F5D-6FBE6C6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6A"/>
    <w:pPr>
      <w:ind w:left="720"/>
      <w:contextualSpacing/>
    </w:pPr>
  </w:style>
  <w:style w:type="paragraph" w:customStyle="1" w:styleId="xmsonormal">
    <w:name w:val="x_msonormal"/>
    <w:basedOn w:val="Normal"/>
    <w:rsid w:val="008223D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C3780"/>
    <w:rPr>
      <w:sz w:val="16"/>
      <w:szCs w:val="16"/>
    </w:rPr>
  </w:style>
  <w:style w:type="paragraph" w:styleId="CommentText">
    <w:name w:val="annotation text"/>
    <w:basedOn w:val="Normal"/>
    <w:link w:val="CommentTextChar"/>
    <w:uiPriority w:val="99"/>
    <w:unhideWhenUsed/>
    <w:rsid w:val="000C3780"/>
    <w:pPr>
      <w:spacing w:line="240" w:lineRule="auto"/>
    </w:pPr>
    <w:rPr>
      <w:sz w:val="20"/>
      <w:szCs w:val="20"/>
    </w:rPr>
  </w:style>
  <w:style w:type="character" w:customStyle="1" w:styleId="CommentTextChar">
    <w:name w:val="Comment Text Char"/>
    <w:basedOn w:val="DefaultParagraphFont"/>
    <w:link w:val="CommentText"/>
    <w:uiPriority w:val="99"/>
    <w:rsid w:val="000C3780"/>
    <w:rPr>
      <w:sz w:val="20"/>
      <w:szCs w:val="20"/>
    </w:rPr>
  </w:style>
  <w:style w:type="paragraph" w:styleId="BalloonText">
    <w:name w:val="Balloon Text"/>
    <w:basedOn w:val="Normal"/>
    <w:link w:val="BalloonTextChar"/>
    <w:uiPriority w:val="99"/>
    <w:semiHidden/>
    <w:unhideWhenUsed/>
    <w:rsid w:val="000C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80"/>
    <w:rPr>
      <w:rFonts w:ascii="Segoe UI" w:hAnsi="Segoe UI" w:cs="Segoe UI"/>
      <w:sz w:val="18"/>
      <w:szCs w:val="18"/>
    </w:rPr>
  </w:style>
  <w:style w:type="character" w:styleId="Hyperlink">
    <w:name w:val="Hyperlink"/>
    <w:basedOn w:val="DefaultParagraphFont"/>
    <w:uiPriority w:val="99"/>
    <w:semiHidden/>
    <w:unhideWhenUsed/>
    <w:rsid w:val="00470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83">
      <w:bodyDiv w:val="1"/>
      <w:marLeft w:val="0"/>
      <w:marRight w:val="0"/>
      <w:marTop w:val="0"/>
      <w:marBottom w:val="0"/>
      <w:divBdr>
        <w:top w:val="none" w:sz="0" w:space="0" w:color="auto"/>
        <w:left w:val="none" w:sz="0" w:space="0" w:color="auto"/>
        <w:bottom w:val="none" w:sz="0" w:space="0" w:color="auto"/>
        <w:right w:val="none" w:sz="0" w:space="0" w:color="auto"/>
      </w:divBdr>
    </w:div>
    <w:div w:id="70079779">
      <w:bodyDiv w:val="1"/>
      <w:marLeft w:val="0"/>
      <w:marRight w:val="0"/>
      <w:marTop w:val="0"/>
      <w:marBottom w:val="0"/>
      <w:divBdr>
        <w:top w:val="none" w:sz="0" w:space="0" w:color="auto"/>
        <w:left w:val="none" w:sz="0" w:space="0" w:color="auto"/>
        <w:bottom w:val="none" w:sz="0" w:space="0" w:color="auto"/>
        <w:right w:val="none" w:sz="0" w:space="0" w:color="auto"/>
      </w:divBdr>
    </w:div>
    <w:div w:id="92435328">
      <w:bodyDiv w:val="1"/>
      <w:marLeft w:val="0"/>
      <w:marRight w:val="0"/>
      <w:marTop w:val="0"/>
      <w:marBottom w:val="0"/>
      <w:divBdr>
        <w:top w:val="none" w:sz="0" w:space="0" w:color="auto"/>
        <w:left w:val="none" w:sz="0" w:space="0" w:color="auto"/>
        <w:bottom w:val="none" w:sz="0" w:space="0" w:color="auto"/>
        <w:right w:val="none" w:sz="0" w:space="0" w:color="auto"/>
      </w:divBdr>
    </w:div>
    <w:div w:id="132410783">
      <w:bodyDiv w:val="1"/>
      <w:marLeft w:val="0"/>
      <w:marRight w:val="0"/>
      <w:marTop w:val="0"/>
      <w:marBottom w:val="0"/>
      <w:divBdr>
        <w:top w:val="none" w:sz="0" w:space="0" w:color="auto"/>
        <w:left w:val="none" w:sz="0" w:space="0" w:color="auto"/>
        <w:bottom w:val="none" w:sz="0" w:space="0" w:color="auto"/>
        <w:right w:val="none" w:sz="0" w:space="0" w:color="auto"/>
      </w:divBdr>
    </w:div>
    <w:div w:id="180165501">
      <w:bodyDiv w:val="1"/>
      <w:marLeft w:val="0"/>
      <w:marRight w:val="0"/>
      <w:marTop w:val="0"/>
      <w:marBottom w:val="0"/>
      <w:divBdr>
        <w:top w:val="none" w:sz="0" w:space="0" w:color="auto"/>
        <w:left w:val="none" w:sz="0" w:space="0" w:color="auto"/>
        <w:bottom w:val="none" w:sz="0" w:space="0" w:color="auto"/>
        <w:right w:val="none" w:sz="0" w:space="0" w:color="auto"/>
      </w:divBdr>
    </w:div>
    <w:div w:id="297997400">
      <w:bodyDiv w:val="1"/>
      <w:marLeft w:val="0"/>
      <w:marRight w:val="0"/>
      <w:marTop w:val="0"/>
      <w:marBottom w:val="0"/>
      <w:divBdr>
        <w:top w:val="none" w:sz="0" w:space="0" w:color="auto"/>
        <w:left w:val="none" w:sz="0" w:space="0" w:color="auto"/>
        <w:bottom w:val="none" w:sz="0" w:space="0" w:color="auto"/>
        <w:right w:val="none" w:sz="0" w:space="0" w:color="auto"/>
      </w:divBdr>
    </w:div>
    <w:div w:id="528298839">
      <w:bodyDiv w:val="1"/>
      <w:marLeft w:val="0"/>
      <w:marRight w:val="0"/>
      <w:marTop w:val="0"/>
      <w:marBottom w:val="0"/>
      <w:divBdr>
        <w:top w:val="none" w:sz="0" w:space="0" w:color="auto"/>
        <w:left w:val="none" w:sz="0" w:space="0" w:color="auto"/>
        <w:bottom w:val="none" w:sz="0" w:space="0" w:color="auto"/>
        <w:right w:val="none" w:sz="0" w:space="0" w:color="auto"/>
      </w:divBdr>
    </w:div>
    <w:div w:id="555553948">
      <w:bodyDiv w:val="1"/>
      <w:marLeft w:val="0"/>
      <w:marRight w:val="0"/>
      <w:marTop w:val="0"/>
      <w:marBottom w:val="0"/>
      <w:divBdr>
        <w:top w:val="none" w:sz="0" w:space="0" w:color="auto"/>
        <w:left w:val="none" w:sz="0" w:space="0" w:color="auto"/>
        <w:bottom w:val="none" w:sz="0" w:space="0" w:color="auto"/>
        <w:right w:val="none" w:sz="0" w:space="0" w:color="auto"/>
      </w:divBdr>
    </w:div>
    <w:div w:id="681709588">
      <w:bodyDiv w:val="1"/>
      <w:marLeft w:val="0"/>
      <w:marRight w:val="0"/>
      <w:marTop w:val="0"/>
      <w:marBottom w:val="0"/>
      <w:divBdr>
        <w:top w:val="none" w:sz="0" w:space="0" w:color="auto"/>
        <w:left w:val="none" w:sz="0" w:space="0" w:color="auto"/>
        <w:bottom w:val="none" w:sz="0" w:space="0" w:color="auto"/>
        <w:right w:val="none" w:sz="0" w:space="0" w:color="auto"/>
      </w:divBdr>
    </w:div>
    <w:div w:id="886375571">
      <w:bodyDiv w:val="1"/>
      <w:marLeft w:val="0"/>
      <w:marRight w:val="0"/>
      <w:marTop w:val="0"/>
      <w:marBottom w:val="0"/>
      <w:divBdr>
        <w:top w:val="none" w:sz="0" w:space="0" w:color="auto"/>
        <w:left w:val="none" w:sz="0" w:space="0" w:color="auto"/>
        <w:bottom w:val="none" w:sz="0" w:space="0" w:color="auto"/>
        <w:right w:val="none" w:sz="0" w:space="0" w:color="auto"/>
      </w:divBdr>
    </w:div>
    <w:div w:id="953099278">
      <w:bodyDiv w:val="1"/>
      <w:marLeft w:val="0"/>
      <w:marRight w:val="0"/>
      <w:marTop w:val="0"/>
      <w:marBottom w:val="0"/>
      <w:divBdr>
        <w:top w:val="none" w:sz="0" w:space="0" w:color="auto"/>
        <w:left w:val="none" w:sz="0" w:space="0" w:color="auto"/>
        <w:bottom w:val="none" w:sz="0" w:space="0" w:color="auto"/>
        <w:right w:val="none" w:sz="0" w:space="0" w:color="auto"/>
      </w:divBdr>
    </w:div>
    <w:div w:id="1021274247">
      <w:bodyDiv w:val="1"/>
      <w:marLeft w:val="0"/>
      <w:marRight w:val="0"/>
      <w:marTop w:val="0"/>
      <w:marBottom w:val="0"/>
      <w:divBdr>
        <w:top w:val="none" w:sz="0" w:space="0" w:color="auto"/>
        <w:left w:val="none" w:sz="0" w:space="0" w:color="auto"/>
        <w:bottom w:val="none" w:sz="0" w:space="0" w:color="auto"/>
        <w:right w:val="none" w:sz="0" w:space="0" w:color="auto"/>
      </w:divBdr>
    </w:div>
    <w:div w:id="1041977558">
      <w:bodyDiv w:val="1"/>
      <w:marLeft w:val="0"/>
      <w:marRight w:val="0"/>
      <w:marTop w:val="0"/>
      <w:marBottom w:val="0"/>
      <w:divBdr>
        <w:top w:val="none" w:sz="0" w:space="0" w:color="auto"/>
        <w:left w:val="none" w:sz="0" w:space="0" w:color="auto"/>
        <w:bottom w:val="none" w:sz="0" w:space="0" w:color="auto"/>
        <w:right w:val="none" w:sz="0" w:space="0" w:color="auto"/>
      </w:divBdr>
    </w:div>
    <w:div w:id="1045061915">
      <w:bodyDiv w:val="1"/>
      <w:marLeft w:val="0"/>
      <w:marRight w:val="0"/>
      <w:marTop w:val="0"/>
      <w:marBottom w:val="0"/>
      <w:divBdr>
        <w:top w:val="none" w:sz="0" w:space="0" w:color="auto"/>
        <w:left w:val="none" w:sz="0" w:space="0" w:color="auto"/>
        <w:bottom w:val="none" w:sz="0" w:space="0" w:color="auto"/>
        <w:right w:val="none" w:sz="0" w:space="0" w:color="auto"/>
      </w:divBdr>
    </w:div>
    <w:div w:id="1248424129">
      <w:bodyDiv w:val="1"/>
      <w:marLeft w:val="0"/>
      <w:marRight w:val="0"/>
      <w:marTop w:val="0"/>
      <w:marBottom w:val="0"/>
      <w:divBdr>
        <w:top w:val="none" w:sz="0" w:space="0" w:color="auto"/>
        <w:left w:val="none" w:sz="0" w:space="0" w:color="auto"/>
        <w:bottom w:val="none" w:sz="0" w:space="0" w:color="auto"/>
        <w:right w:val="none" w:sz="0" w:space="0" w:color="auto"/>
      </w:divBdr>
    </w:div>
    <w:div w:id="1335497123">
      <w:bodyDiv w:val="1"/>
      <w:marLeft w:val="0"/>
      <w:marRight w:val="0"/>
      <w:marTop w:val="0"/>
      <w:marBottom w:val="0"/>
      <w:divBdr>
        <w:top w:val="none" w:sz="0" w:space="0" w:color="auto"/>
        <w:left w:val="none" w:sz="0" w:space="0" w:color="auto"/>
        <w:bottom w:val="none" w:sz="0" w:space="0" w:color="auto"/>
        <w:right w:val="none" w:sz="0" w:space="0" w:color="auto"/>
      </w:divBdr>
    </w:div>
    <w:div w:id="1428841353">
      <w:bodyDiv w:val="1"/>
      <w:marLeft w:val="0"/>
      <w:marRight w:val="0"/>
      <w:marTop w:val="0"/>
      <w:marBottom w:val="0"/>
      <w:divBdr>
        <w:top w:val="none" w:sz="0" w:space="0" w:color="auto"/>
        <w:left w:val="none" w:sz="0" w:space="0" w:color="auto"/>
        <w:bottom w:val="none" w:sz="0" w:space="0" w:color="auto"/>
        <w:right w:val="none" w:sz="0" w:space="0" w:color="auto"/>
      </w:divBdr>
    </w:div>
    <w:div w:id="1451511710">
      <w:bodyDiv w:val="1"/>
      <w:marLeft w:val="0"/>
      <w:marRight w:val="0"/>
      <w:marTop w:val="0"/>
      <w:marBottom w:val="0"/>
      <w:divBdr>
        <w:top w:val="none" w:sz="0" w:space="0" w:color="auto"/>
        <w:left w:val="none" w:sz="0" w:space="0" w:color="auto"/>
        <w:bottom w:val="none" w:sz="0" w:space="0" w:color="auto"/>
        <w:right w:val="none" w:sz="0" w:space="0" w:color="auto"/>
      </w:divBdr>
    </w:div>
    <w:div w:id="1540630840">
      <w:bodyDiv w:val="1"/>
      <w:marLeft w:val="0"/>
      <w:marRight w:val="0"/>
      <w:marTop w:val="0"/>
      <w:marBottom w:val="0"/>
      <w:divBdr>
        <w:top w:val="none" w:sz="0" w:space="0" w:color="auto"/>
        <w:left w:val="none" w:sz="0" w:space="0" w:color="auto"/>
        <w:bottom w:val="none" w:sz="0" w:space="0" w:color="auto"/>
        <w:right w:val="none" w:sz="0" w:space="0" w:color="auto"/>
      </w:divBdr>
    </w:div>
    <w:div w:id="1674799763">
      <w:bodyDiv w:val="1"/>
      <w:marLeft w:val="0"/>
      <w:marRight w:val="0"/>
      <w:marTop w:val="0"/>
      <w:marBottom w:val="0"/>
      <w:divBdr>
        <w:top w:val="none" w:sz="0" w:space="0" w:color="auto"/>
        <w:left w:val="none" w:sz="0" w:space="0" w:color="auto"/>
        <w:bottom w:val="none" w:sz="0" w:space="0" w:color="auto"/>
        <w:right w:val="none" w:sz="0" w:space="0" w:color="auto"/>
      </w:divBdr>
    </w:div>
    <w:div w:id="1726639149">
      <w:bodyDiv w:val="1"/>
      <w:marLeft w:val="0"/>
      <w:marRight w:val="0"/>
      <w:marTop w:val="0"/>
      <w:marBottom w:val="0"/>
      <w:divBdr>
        <w:top w:val="none" w:sz="0" w:space="0" w:color="auto"/>
        <w:left w:val="none" w:sz="0" w:space="0" w:color="auto"/>
        <w:bottom w:val="none" w:sz="0" w:space="0" w:color="auto"/>
        <w:right w:val="none" w:sz="0" w:space="0" w:color="auto"/>
      </w:divBdr>
    </w:div>
    <w:div w:id="1780023482">
      <w:bodyDiv w:val="1"/>
      <w:marLeft w:val="0"/>
      <w:marRight w:val="0"/>
      <w:marTop w:val="0"/>
      <w:marBottom w:val="0"/>
      <w:divBdr>
        <w:top w:val="none" w:sz="0" w:space="0" w:color="auto"/>
        <w:left w:val="none" w:sz="0" w:space="0" w:color="auto"/>
        <w:bottom w:val="none" w:sz="0" w:space="0" w:color="auto"/>
        <w:right w:val="none" w:sz="0" w:space="0" w:color="auto"/>
      </w:divBdr>
    </w:div>
    <w:div w:id="1802922973">
      <w:bodyDiv w:val="1"/>
      <w:marLeft w:val="0"/>
      <w:marRight w:val="0"/>
      <w:marTop w:val="0"/>
      <w:marBottom w:val="0"/>
      <w:divBdr>
        <w:top w:val="none" w:sz="0" w:space="0" w:color="auto"/>
        <w:left w:val="none" w:sz="0" w:space="0" w:color="auto"/>
        <w:bottom w:val="none" w:sz="0" w:space="0" w:color="auto"/>
        <w:right w:val="none" w:sz="0" w:space="0" w:color="auto"/>
      </w:divBdr>
    </w:div>
    <w:div w:id="2033334149">
      <w:bodyDiv w:val="1"/>
      <w:marLeft w:val="0"/>
      <w:marRight w:val="0"/>
      <w:marTop w:val="0"/>
      <w:marBottom w:val="0"/>
      <w:divBdr>
        <w:top w:val="none" w:sz="0" w:space="0" w:color="auto"/>
        <w:left w:val="none" w:sz="0" w:space="0" w:color="auto"/>
        <w:bottom w:val="none" w:sz="0" w:space="0" w:color="auto"/>
        <w:right w:val="none" w:sz="0" w:space="0" w:color="auto"/>
      </w:divBdr>
    </w:div>
    <w:div w:id="2057001812">
      <w:bodyDiv w:val="1"/>
      <w:marLeft w:val="0"/>
      <w:marRight w:val="0"/>
      <w:marTop w:val="0"/>
      <w:marBottom w:val="0"/>
      <w:divBdr>
        <w:top w:val="none" w:sz="0" w:space="0" w:color="auto"/>
        <w:left w:val="none" w:sz="0" w:space="0" w:color="auto"/>
        <w:bottom w:val="none" w:sz="0" w:space="0" w:color="auto"/>
        <w:right w:val="none" w:sz="0" w:space="0" w:color="auto"/>
      </w:divBdr>
    </w:div>
    <w:div w:id="2088307192">
      <w:bodyDiv w:val="1"/>
      <w:marLeft w:val="0"/>
      <w:marRight w:val="0"/>
      <w:marTop w:val="0"/>
      <w:marBottom w:val="0"/>
      <w:divBdr>
        <w:top w:val="none" w:sz="0" w:space="0" w:color="auto"/>
        <w:left w:val="none" w:sz="0" w:space="0" w:color="auto"/>
        <w:bottom w:val="none" w:sz="0" w:space="0" w:color="auto"/>
        <w:right w:val="none" w:sz="0" w:space="0" w:color="auto"/>
      </w:divBdr>
    </w:div>
    <w:div w:id="21182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05/plaws/publ89/PLAW-105publ89.pdf" TargetMode="External"/><Relationship Id="rId5" Type="http://schemas.openxmlformats.org/officeDocument/2006/relationships/numbering" Target="numbering.xml"/><Relationship Id="rId10" Type="http://schemas.openxmlformats.org/officeDocument/2006/relationships/hyperlink" Target="https://apps.legislature.ky.gov/law/statutes/statute.aspx?id=45706" TargetMode="External"/><Relationship Id="rId4" Type="http://schemas.openxmlformats.org/officeDocument/2006/relationships/customXml" Target="../customXml/item4.xml"/><Relationship Id="rId9" Type="http://schemas.openxmlformats.org/officeDocument/2006/relationships/hyperlink" Target="https://www.ssa.gov/OP_Home/ssact/title04/04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2095-4603-4A3E-8DFB-11D7C6AA542D}">
  <ds:schemaRefs>
    <ds:schemaRef ds:uri="http://purl.org/dc/terms/"/>
    <ds:schemaRef ds:uri="http://schemas.openxmlformats.org/package/2006/metadata/core-properties"/>
    <ds:schemaRef ds:uri="65b60e10-1d1f-48db-8ed9-28ba608457d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4E42EC-7573-4A45-86B9-BF6307982F42}">
  <ds:schemaRefs>
    <ds:schemaRef ds:uri="http://schemas.microsoft.com/sharepoint/v3/contenttype/forms"/>
  </ds:schemaRefs>
</ds:datastoreItem>
</file>

<file path=customXml/itemProps3.xml><?xml version="1.0" encoding="utf-8"?>
<ds:datastoreItem xmlns:ds="http://schemas.openxmlformats.org/officeDocument/2006/customXml" ds:itemID="{7F130784-BD90-4EFF-ABB7-BE510B147B60}"/>
</file>

<file path=customXml/itemProps4.xml><?xml version="1.0" encoding="utf-8"?>
<ds:datastoreItem xmlns:ds="http://schemas.openxmlformats.org/officeDocument/2006/customXml" ds:itemID="{C4CEA20A-576B-4452-9AAB-D6B2889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20-16 Statement of Consideration SOP 11.30 Permanency Hearings and ASFA Exemption Request</dc:title>
  <dc:subject/>
  <dc:creator>Cubert, Julie M (CHFS DCBS DPP)</dc:creator>
  <cp:keywords/>
  <dc:description/>
  <cp:lastModifiedBy>Cubert, Julie M (CHFS DCBS DPP)</cp:lastModifiedBy>
  <cp:revision>10</cp:revision>
  <dcterms:created xsi:type="dcterms:W3CDTF">2020-02-26T16:18:00Z</dcterms:created>
  <dcterms:modified xsi:type="dcterms:W3CDTF">2020-09-22T20:56:00Z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